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spacing w:line="420" w:lineRule="exac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b/>
          <w:sz w:val="36"/>
          <w:szCs w:val="36"/>
        </w:rPr>
        <w:t>年新教师就业须知</w:t>
      </w:r>
    </w:p>
    <w:bookmarkEnd w:id="0"/>
    <w:p>
      <w:pPr>
        <w:spacing w:line="160" w:lineRule="exact"/>
        <w:ind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1.选岗工作按照《诸暨市教体局202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年新招聘教师就业选岗实施办法》规定的程序和要求执行。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2.选岗注意事项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（1）要了解岗位设置学校的具体情况，特别是镇乡（街道）中心学校所属的学校。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（2）岗位选择实行学科、学段（分为高中、初中、小学、幼儿园）相对应的原则。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（3）选岗人员要根据可以选择的岗位和自己的意愿尽快作出岗位选择，确保在规定时间内选好岗位。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（4）选岗前集中等候期间，同一学科人员可以互相联系沟通，以便尽快确定岗位，同时要求填写好《岗位选择表》的有关内容。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3.在规定时间（具体时间见QQ群通知），A类新教师须凭身份证到党建室领取行政、工资介绍信，办理入编手续，随带学历、学位证书到学校报到；B类有工作经历的需到社保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中心</w:t>
      </w:r>
      <w:r>
        <w:rPr>
          <w:rFonts w:hint="eastAsia" w:ascii="仿宋_GB2312" w:eastAsia="仿宋_GB2312"/>
          <w:sz w:val="30"/>
          <w:szCs w:val="30"/>
        </w:rPr>
        <w:t>出具缴纳养老保险的原始凭证等相关材料（具体清单见QQ群通知）于规定时间交党建室郑老师，并凭身份证办理入编手续。B类新教师待材料齐全后领取行政、工资介绍信。所有录用的新教师须在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</w:rPr>
        <w:t>日前到各直属学校、中心学校报到。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4.学生党员（包括预备党员）、团员必须在8月30日前按规定办理好组织关系的转接工作。预备党员须及时向学校党组织说明身份，本人党员档案由学校党组织领回统一保管。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5．所有录用人员须在8月1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日参加新教师试用期集中培训，1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日上午8：00之前报到，培训地点另行通知。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</w:rPr>
        <w:t>日前随带身份证到农业银行红旗路支行（市公安局大楼旁）办理教育系统新教师工资卡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学勉中学教师办工商银行卡）</w:t>
      </w:r>
      <w:r>
        <w:rPr>
          <w:rFonts w:hint="eastAsia" w:ascii="仿宋_GB2312" w:eastAsia="仿宋_GB2312"/>
          <w:sz w:val="30"/>
          <w:szCs w:val="30"/>
        </w:rPr>
        <w:t>，办卡时请说明为教师工资卡，可免工本费，并将办卡的相关纸质材料交本校会计处。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7.做好户籍变更手续。户籍仍在农村的新教师，请在一周内随带《户口迁移通知书》、户口本、所在学校介绍信等材料到户籍管理部门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(当地派出所)</w:t>
      </w:r>
      <w:r>
        <w:rPr>
          <w:rFonts w:hint="eastAsia" w:ascii="仿宋_GB2312" w:eastAsia="仿宋_GB2312"/>
          <w:sz w:val="30"/>
          <w:szCs w:val="30"/>
        </w:rPr>
        <w:t>，办理户籍变更手续，变更后的户口簿原件交学校查验，户口簿复印件交学校留存。目前户口已为“非农”的，请将户口簿原件交学校查验，复印件交学校留存。户籍暂时无法办理迁移手续的，需签订相应《承诺书》（具体内容见QQ群通知）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8.按要求填写《事业单位新增人员审核表》（具体见QQ群通知）。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A0613"/>
    <w:rsid w:val="3D1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2021-07-30T09:12:00Z</dcterms:created>
  <dc:creator>水晶包1418651113</dc:creator>
  <cp:lastModifiedBy>水晶包1418651113</cp:lastModifiedBy>
  <dcterms:modified xsi:type="dcterms:W3CDTF">2021-07-30T09:12:44Z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78860A8AF95649BDAA329C85CD379F79</vt:lpwstr>
  </property>
</Properties>
</file>