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  <w:t>校园招聘高校名单及条件</w:t>
      </w:r>
    </w:p>
    <w:bookmarkEnd w:id="0"/>
    <w:tbl>
      <w:tblPr>
        <w:tblStyle w:val="2"/>
        <w:tblW w:w="895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067"/>
        <w:gridCol w:w="3800"/>
        <w:gridCol w:w="2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诸暨市人民医院、诸暨市中医医院条件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实习前在校综合成绩排名位列本专业前50%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沈阳药科大学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不列入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贵阳中医学院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锦州医科大学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海南医学院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甘肃中医药大学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桂林医学院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左江民族医学院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皖南医学院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蚌埠医学院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牡丹江医学院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c1MTFiMDM1MDJmNzMzYjYwMTFmNjE0YjZjYjgifQ=="/>
  </w:docVars>
  <w:rsids>
    <w:rsidRoot w:val="79B444A4"/>
    <w:rsid w:val="79B4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2022-12-13T06:30:00Z</dcterms:created>
  <dc:creator>Administrator</dc:creator>
  <cp:lastModifiedBy>Administrator</cp:lastModifiedBy>
  <dcterms:modified xsi:type="dcterms:W3CDTF">2022-12-13T06:31:32Z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93E8EED9005D490F8B43986F8AD81F67</vt:lpwstr>
  </property>
</Properties>
</file>